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426F23D6" w:rsidP="38117E69" w:rsidRDefault="426F23D6" w14:paraId="63EDC411" w14:textId="5AC8D08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117E69">
        <w:rPr>
          <w:rFonts w:ascii="Times New Roman" w:hAnsi="Times New Roman" w:eastAsia="Times New Roman" w:cs="Times New Roman"/>
          <w:sz w:val="24"/>
          <w:szCs w:val="24"/>
        </w:rPr>
        <w:t>To:</w:t>
      </w:r>
      <w:r>
        <w:tab/>
      </w:r>
      <w:r w:rsidRPr="38117E69">
        <w:rPr>
          <w:rFonts w:ascii="Times New Roman" w:hAnsi="Times New Roman" w:eastAsia="Times New Roman" w:cs="Times New Roman"/>
          <w:sz w:val="24"/>
          <w:szCs w:val="24"/>
        </w:rPr>
        <w:t>TICLJ Staff</w:t>
      </w:r>
    </w:p>
    <w:p w:rsidR="426F23D6" w:rsidP="38117E69" w:rsidRDefault="426F23D6" w14:paraId="288B74B6" w14:textId="1F01B7A3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444B7">
        <w:rPr>
          <w:rFonts w:ascii="Times New Roman" w:hAnsi="Times New Roman" w:eastAsia="Times New Roman" w:cs="Times New Roman"/>
          <w:sz w:val="24"/>
          <w:szCs w:val="24"/>
        </w:rPr>
        <w:t>From:</w:t>
      </w:r>
      <w:r>
        <w:tab/>
      </w:r>
      <w:r w:rsidRPr="588444B7">
        <w:rPr>
          <w:rFonts w:ascii="Times New Roman" w:hAnsi="Times New Roman" w:eastAsia="Times New Roman" w:cs="Times New Roman"/>
          <w:sz w:val="24"/>
          <w:szCs w:val="24"/>
        </w:rPr>
        <w:t xml:space="preserve">Write-On </w:t>
      </w:r>
      <w:r w:rsidRPr="588444B7" w:rsidR="4A9B253D">
        <w:rPr>
          <w:rFonts w:ascii="Times New Roman" w:hAnsi="Times New Roman" w:eastAsia="Times New Roman" w:cs="Times New Roman"/>
          <w:sz w:val="24"/>
          <w:szCs w:val="24"/>
        </w:rPr>
        <w:t>Participant</w:t>
      </w:r>
    </w:p>
    <w:p w:rsidR="6D1E9903" w:rsidP="38117E69" w:rsidRDefault="6D1E9903" w14:paraId="19A90A53" w14:textId="734CE1B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117E69">
        <w:rPr>
          <w:rFonts w:ascii="Times New Roman" w:hAnsi="Times New Roman" w:eastAsia="Times New Roman" w:cs="Times New Roman"/>
          <w:sz w:val="24"/>
          <w:szCs w:val="24"/>
        </w:rPr>
        <w:t>Date:</w:t>
      </w:r>
      <w:r>
        <w:tab/>
      </w:r>
      <w:r w:rsidRPr="38117E69">
        <w:rPr>
          <w:rFonts w:ascii="Times New Roman" w:hAnsi="Times New Roman" w:eastAsia="Times New Roman" w:cs="Times New Roman"/>
          <w:sz w:val="24"/>
          <w:szCs w:val="24"/>
        </w:rPr>
        <w:t>Spring 2024</w:t>
      </w:r>
    </w:p>
    <w:p w:rsidR="426F23D6" w:rsidP="38117E69" w:rsidRDefault="426F23D6" w14:paraId="70F41011" w14:textId="0D76C7B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65C527D" w:rsidR="426F23D6">
        <w:rPr>
          <w:rFonts w:ascii="Times New Roman" w:hAnsi="Times New Roman" w:eastAsia="Times New Roman" w:cs="Times New Roman"/>
          <w:sz w:val="24"/>
          <w:szCs w:val="24"/>
        </w:rPr>
        <w:t>Re:</w:t>
      </w:r>
      <w:r>
        <w:tab/>
      </w:r>
      <w:r w:rsidRPr="465C527D" w:rsidR="426F23D6">
        <w:rPr>
          <w:rFonts w:ascii="Times New Roman" w:hAnsi="Times New Roman" w:eastAsia="Times New Roman" w:cs="Times New Roman"/>
          <w:sz w:val="24"/>
          <w:szCs w:val="24"/>
        </w:rPr>
        <w:t>Mock Write-On Cite Check, FN 1-</w:t>
      </w:r>
      <w:r w:rsidRPr="465C527D" w:rsidR="3E4A7E31">
        <w:rPr>
          <w:rFonts w:ascii="Times New Roman" w:hAnsi="Times New Roman" w:eastAsia="Times New Roman" w:cs="Times New Roman"/>
          <w:sz w:val="24"/>
          <w:szCs w:val="24"/>
        </w:rPr>
        <w:t>10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00"/>
        <w:gridCol w:w="8760"/>
      </w:tblGrid>
      <w:tr w:rsidR="38117E69" w:rsidTr="51E7361E" w14:paraId="2865CD35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39E55108" w14:textId="0F3F21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FN</w:t>
            </w:r>
          </w:p>
        </w:tc>
        <w:tc>
          <w:tcPr>
            <w:tcW w:w="8760" w:type="dxa"/>
            <w:tcMar/>
          </w:tcPr>
          <w:p w:rsidR="7FCE2A0D" w:rsidP="38117E69" w:rsidRDefault="7FCE2A0D" w14:paraId="1622DD0A" w14:textId="30088A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Citation</w:t>
            </w:r>
          </w:p>
        </w:tc>
      </w:tr>
      <w:tr w:rsidR="38117E69" w:rsidTr="51E7361E" w14:paraId="15388A69" w14:textId="77777777">
        <w:trPr>
          <w:trHeight w:val="300"/>
        </w:trPr>
        <w:tc>
          <w:tcPr>
            <w:tcW w:w="600" w:type="dxa"/>
            <w:tcMar/>
          </w:tcPr>
          <w:p w:rsidR="4F08673C" w:rsidP="38117E69" w:rsidRDefault="4F08673C" w14:paraId="280A9A21" w14:textId="151BEA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60" w:type="dxa"/>
            <w:tcMar/>
          </w:tcPr>
          <w:p w:rsidR="38117E69" w:rsidP="38117E69" w:rsidRDefault="00197D05" w14:paraId="5BB1F527" w14:textId="505865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97D0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Dobbs v. Jackson Wom</w:t>
            </w:r>
            <w:r w:rsidR="0065637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e</w:t>
            </w:r>
            <w:r w:rsidRPr="00197D0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n’s Health</w:t>
            </w:r>
            <w:r w:rsidR="0065637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 Organization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slip op. at 10, 19-1392 (U.S. 2022).</w:t>
            </w:r>
          </w:p>
          <w:p w:rsidR="00197D05" w:rsidP="38117E69" w:rsidRDefault="00197D05" w14:paraId="4B0C91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97D05" w:rsidP="00197D05" w:rsidRDefault="00197D05" w14:paraId="02663B28" w14:textId="0F7777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Dobbs v. Jackson Wom</w:t>
            </w:r>
            <w:r w:rsidR="00656375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n’s Health</w:t>
            </w:r>
            <w:r w:rsidR="006563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Org.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No. 19-1392, slip op. (U.S. 2022).</w:t>
            </w:r>
          </w:p>
          <w:p w:rsidR="00197D05" w:rsidP="38117E69" w:rsidRDefault="00197D05" w14:paraId="0E76E61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97D05" w:rsidP="00197D05" w:rsidRDefault="00197D05" w14:paraId="171D06A8" w14:textId="42801A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10.2 – remove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italics</w:t>
            </w:r>
            <w:proofErr w:type="gramEnd"/>
          </w:p>
          <w:p w:rsidR="00197D05" w:rsidP="00197D05" w:rsidRDefault="00197D05" w14:paraId="403F2A4C" w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BB R. 10.9(iii) – move case number to before slip op.</w:t>
            </w:r>
          </w:p>
          <w:p w:rsidRPr="00197D05" w:rsidR="00197D05" w:rsidP="00197D05" w:rsidRDefault="00197D05" w14:paraId="4CA8C167" w14:textId="486E28D9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0B7A6019" w14:textId="77777777">
        <w:trPr>
          <w:trHeight w:val="300"/>
        </w:trPr>
        <w:tc>
          <w:tcPr>
            <w:tcW w:w="600" w:type="dxa"/>
            <w:tcMar/>
          </w:tcPr>
          <w:p w:rsidR="4F08673C" w:rsidP="38117E69" w:rsidRDefault="4F08673C" w14:paraId="36D21366" w14:textId="007088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  <w:tcMar/>
          </w:tcPr>
          <w:p w:rsidR="08732D71" w:rsidP="38117E69" w:rsidRDefault="00810FD0" w14:paraId="3B0702DD" w14:textId="752045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See </w:t>
            </w:r>
            <w:r w:rsidRPr="0092594E" w:rsidR="08732D71">
              <w:rPr>
                <w:rFonts w:ascii="Times New Roman" w:hAnsi="Times New Roman" w:eastAsia="Times New Roman" w:cs="Times New Roman"/>
                <w:sz w:val="24"/>
                <w:szCs w:val="24"/>
              </w:rPr>
              <w:t>A. Leon Higginbotham Jr.</w:t>
            </w:r>
            <w:r w:rsidRPr="0092594E" w:rsidR="08732D71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, </w:t>
            </w:r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In the Matter of </w:t>
            </w:r>
            <w:proofErr w:type="spellStart"/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Colo</w:t>
            </w:r>
            <w:r w:rsidR="0092594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u</w:t>
            </w:r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r</w:t>
            </w:r>
            <w:proofErr w:type="spellEnd"/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: Race and the American Legal Proces</w:t>
            </w:r>
            <w:r w:rsidR="0092594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</w:t>
            </w:r>
            <w:r w:rsidRPr="0092594E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at </w:t>
            </w:r>
            <w:r w:rsidRPr="0092594E" w:rsidR="3C58D632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170</w:t>
            </w:r>
            <w:r w:rsidRPr="38117E69" w:rsidR="3C58D6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>Fourth</w:t>
            </w:r>
            <w:r w:rsidRPr="38117E69" w:rsidR="49AF9C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ed. </w:t>
            </w:r>
            <w:r w:rsidRPr="38117E69" w:rsidR="2211DF2F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  <w:r w:rsidRPr="38117E69" w:rsidR="64347F32">
              <w:rPr>
                <w:rFonts w:ascii="Times New Roman" w:hAnsi="Times New Roman" w:eastAsia="Times New Roman" w:cs="Times New Roman"/>
                <w:sz w:val="24"/>
                <w:szCs w:val="24"/>
              </w:rPr>
              <w:t>80)</w:t>
            </w:r>
            <w:r w:rsidRPr="38117E69" w:rsidR="391209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8117E69" w:rsidR="3C58D632">
              <w:rPr>
                <w:rFonts w:ascii="Times New Roman" w:hAnsi="Times New Roman" w:eastAsia="Times New Roman" w:cs="Times New Roman"/>
                <w:sz w:val="24"/>
                <w:szCs w:val="24"/>
              </w:rPr>
              <w:t>(discussing status and control of slaves and discriminatory treatment they were subjected to)</w:t>
            </w:r>
          </w:p>
          <w:p w:rsidR="0FFC95ED" w:rsidP="51E7361E" w:rsidRDefault="0FFC95ED" w14:paraId="215BA8D5" w14:textId="4E5EF10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342F2CE0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14BDC4BE" w14:textId="1622C9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  <w:tcMar/>
          </w:tcPr>
          <w:p w:rsidR="3C7D24F2" w:rsidP="38117E69" w:rsidRDefault="0092594E" w14:paraId="5D43C98D" w14:textId="3CC611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Tony Luong, Supreme Court Will Hear Challenge to Affirmative Action at Harvard and U.N.C., </w:t>
            </w:r>
            <w:r w:rsidRPr="2DCA1AB6" w:rsidR="0092594E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New York Times</w:t>
            </w: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(Dec</w:t>
            </w:r>
            <w:r w:rsidRPr="2DCA1AB6" w:rsidR="0456E972">
              <w:rPr>
                <w:rFonts w:ascii="Times New Roman" w:hAnsi="Times New Roman" w:eastAsia="Times New Roman" w:cs="Times New Roman"/>
                <w:sz w:val="24"/>
                <w:szCs w:val="24"/>
              </w:rPr>
              <w:t>ember</w:t>
            </w: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7, 2023), </w:t>
            </w:r>
            <w:hyperlink r:id="R742fe7de7df2470c">
              <w:r w:rsidRPr="2DCA1AB6" w:rsidR="0092594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https://www.nytimes.com/2022/01/24/us/politics/supreme-court-affirmative-action-harvard-unc.html</w:t>
              </w:r>
            </w:hyperlink>
            <w:r w:rsidRPr="2DCA1AB6" w:rsidR="00810FD0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810FD0" w:rsidR="00810FD0" w:rsidP="51E7361E" w:rsidRDefault="00810FD0" w14:paraId="7388E259" w14:textId="583B40DD">
            <w:pPr>
              <w:pStyle w:val="Normal"/>
              <w:ind/>
              <w:rPr/>
            </w:pPr>
          </w:p>
        </w:tc>
      </w:tr>
      <w:tr w:rsidR="38117E69" w:rsidTr="51E7361E" w14:paraId="5CA6B02A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32839358" w14:textId="79D079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760" w:type="dxa"/>
            <w:tcMar/>
          </w:tcPr>
          <w:p w:rsidR="61479BCD" w:rsidP="38117E69" w:rsidRDefault="00810FD0" w14:paraId="30F20D79" w14:textId="3BBD1A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Neha Jain, </w:t>
            </w:r>
            <w:r w:rsidRPr="00810FD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A Tale of Two Cities: Reflections on Robinson’s Twinning of International Criminal Law and Criminal Law Theory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35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Temple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International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and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Comparative Law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J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ournal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25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, 34-35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(221)</w:t>
            </w:r>
            <w:r w:rsidR="00B023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(arguing while Robinson explores the controversies regarding military command responsibility, he overlooks civilian superiors missing an opportunity for analysis and reform)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B02363" w:rsidR="00B02363" w:rsidP="00B02363" w:rsidRDefault="00B02363" w14:paraId="789A1D49" w14:textId="58D39CD2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577DB53E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24EEC069" w14:textId="2566C1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760" w:type="dxa"/>
            <w:tcMar/>
          </w:tcPr>
          <w:p w:rsidR="7F31931E" w:rsidP="38117E69" w:rsidRDefault="00431F9B" w14:paraId="57D90379" w14:textId="31CCDC31">
            <w:pPr>
              <w:rPr/>
            </w:pPr>
            <w:r w:rsidRPr="2DCA1AB6" w:rsidR="00431F9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Trump v. Anderson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00431F9B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SCOTUSblog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>https://www.scotusblog.com/case-files/cases/trump-v-anderson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(last visited on </w:t>
            </w:r>
            <w:r w:rsidRPr="2DCA1AB6" w:rsidR="00412FB1">
              <w:rPr>
                <w:rFonts w:ascii="Times New Roman" w:hAnsi="Times New Roman" w:eastAsia="Times New Roman" w:cs="Times New Roman"/>
                <w:sz w:val="24"/>
                <w:szCs w:val="24"/>
              </w:rPr>
              <w:t>Jan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18, </w:t>
            </w:r>
            <w:r w:rsidRPr="2DCA1AB6" w:rsidR="00412FB1"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 w:rsidRPr="00412FB1" w:rsidR="009D3EAA" w:rsidP="009D3EAA" w:rsidRDefault="009D3EAA" w14:paraId="37090351" w14:textId="1743979C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54BDD2CE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65F5AD51" w14:textId="607B4B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tcMar/>
          </w:tcPr>
          <w:p w:rsidR="38117E69" w:rsidP="38117E69" w:rsidRDefault="009D3EAA" w14:paraId="04523699" w14:textId="647256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See </w:t>
            </w:r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OI European Grp. B.V.</w:t>
            </w:r>
            <w:r w:rsidRP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v. </w:t>
            </w:r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Bolivarian Republic of Venezuela </w:t>
            </w:r>
            <w:proofErr w:type="spellStart"/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Petroleos</w:t>
            </w:r>
            <w:proofErr w:type="spellEnd"/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 de Venezuela</w:t>
            </w:r>
            <w:r w:rsidRP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, 73 F.4th 157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(Third Circuit. 2023)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>(holding</w:t>
            </w:r>
            <w:r w:rsidRPr="00355E74"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</w:t>
            </w:r>
            <w:r w:rsidRPr="00355E74"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denial of sovereign immunity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>was proper as the</w:t>
            </w:r>
            <w:r w:rsidRPr="00355E74"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Venezuelan government exerted significant economic control over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>the national oil company)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9D3EAA" w:rsidR="009D3EAA" w:rsidP="51E7361E" w:rsidRDefault="009D3EAA" w14:paraId="23155BCC" w14:textId="4B8EA272">
            <w:pPr>
              <w:pStyle w:val="Normal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64432471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34A18898" w14:textId="08944B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  <w:tcMar/>
          </w:tcPr>
          <w:p w:rsidR="11B2D52B" w:rsidP="38117E69" w:rsidRDefault="009D3EAA" w14:paraId="5D0A3707" w14:textId="685734DB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Allegations of Genocide Under the Convention on the Prevention and Punishment of the Crime of Genocide (Ukraine v. Russian Federation), Order, </w:t>
            </w:r>
            <w:r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I.C.J. </w:t>
            </w:r>
            <w:r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No. 182 (Feb. 2)</w:t>
            </w:r>
            <w:r w:rsidR="005E79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hereinafter ICJ Allegations of Genocide</w:t>
            </w:r>
            <w:r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F034AB" w:rsidR="00F034AB" w:rsidP="00F034AB" w:rsidRDefault="00F034AB" w14:paraId="24B8631A" w14:textId="4E127F94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02B57FCE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0772E5A6" w14:textId="70653E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  <w:tcMar/>
          </w:tcPr>
          <w:p w:rsidR="191961EE" w:rsidP="38117E69" w:rsidRDefault="191961EE" w14:paraId="4E4B2F41" w14:textId="2DF8E0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Id</w:t>
            </w:r>
            <w:r w:rsidR="005E79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at 2</w:t>
            </w: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5E7940" w:rsidR="005E7940" w:rsidP="005E7940" w:rsidRDefault="005E7940" w14:paraId="7DCB3577" w14:textId="11E1177D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78C11E91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00197D05" w14:paraId="610F6B17" w14:textId="75FE1A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  <w:tcMar/>
          </w:tcPr>
          <w:p w:rsidR="38117E69" w:rsidP="38117E69" w:rsidRDefault="00197D05" w14:paraId="11B08D42" w14:textId="7231D4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>The Democratic Republic of Congo has faced ongoing conflict and violence, with political tensions, historical conflicts, mining operations, and involvement of foreign powers contributing to a complex and deadly situation.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Center for Preventive Action,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Conflict in the Democratic Republic of Congo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0197D05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Council on Foreign </w:t>
            </w:r>
            <w:proofErr w:type="spellStart"/>
            <w:r w:rsidRPr="00197D05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Re</w:t>
            </w:r>
            <w:r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l</w:t>
            </w:r>
            <w:r w:rsidRPr="00197D05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(Dec. 18, 2023), </w:t>
            </w:r>
            <w:r w:rsidRP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>https://www.cfr.org/global-conflict-tracker/conflict/violence-democratic-republic-congo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197D05" w:rsidR="384B1EF3" w:rsidP="51E7361E" w:rsidRDefault="384B1EF3" w14:paraId="46E1BE34" w14:textId="4D4AF88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51E7361E" w14:paraId="072318C2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00197D05" w14:paraId="79B4D86A" w14:textId="37D0A5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  <w:tcMar/>
          </w:tcPr>
          <w:p w:rsidR="38117E69" w:rsidP="38117E69" w:rsidRDefault="005E7940" w14:paraId="0C47E5AE" w14:textId="341049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ICJ Allegations of Genocide, supra note 6</w:t>
            </w:r>
            <w:r w:rsid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at 1.</w:t>
            </w:r>
          </w:p>
          <w:p w:rsidRPr="00197D05" w:rsidR="0437550E" w:rsidP="51E7361E" w:rsidRDefault="0437550E" w14:paraId="69F14CFF" w14:textId="02F835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6E5B6B3" w:rsidTr="51E7361E" w14:paraId="0D80336A" w14:textId="77777777">
        <w:trPr>
          <w:trHeight w:val="300"/>
        </w:trPr>
        <w:tc>
          <w:tcPr>
            <w:tcW w:w="600" w:type="dxa"/>
            <w:tcMar/>
          </w:tcPr>
          <w:p w:rsidR="2B95A490" w:rsidP="66E5B6B3" w:rsidRDefault="2B95A490" w14:paraId="1F92BB5F" w14:textId="569817A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2B95A490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0" w:type="dxa"/>
            <w:tcMar/>
          </w:tcPr>
          <w:p w:rsidR="23D7D0FD" w:rsidP="66E5B6B3" w:rsidRDefault="23D7D0FD" w14:paraId="55BB6EB6" w14:textId="00476B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23D7D0FD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See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Deribe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Kaske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Kacharo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Emebet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Teshome &amp; Tesfaye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Woltamo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(2022) Safety and security of women and girls in public transport, Urban, Planning and Transport Research, 10:1, 1-19, DOI: 10.1080/21650020.2022.2027268</w:t>
            </w:r>
            <w:r w:rsidRPr="2DCA1AB6" w:rsidR="163EBD28">
              <w:rPr>
                <w:rFonts w:ascii="Times New Roman" w:hAnsi="Times New Roman" w:eastAsia="Times New Roman" w:cs="Times New Roman"/>
                <w:sz w:val="24"/>
                <w:szCs w:val="24"/>
              </w:rPr>
              <w:t>, for a feminist perspective on public transportation.</w:t>
            </w:r>
          </w:p>
          <w:p w:rsidR="58C19E1F" w:rsidP="51E7361E" w:rsidRDefault="58C19E1F" w14:paraId="14979889" w14:noSpellErr="1" w14:textId="0BCEB7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38117E69" w:rsidP="38117E69" w:rsidRDefault="38117E69" w14:paraId="1292A3C4" w14:textId="74C5C8D9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8117E69" w:rsidP="38117E69" w:rsidRDefault="38117E69" w14:paraId="5A402976" w14:textId="1DB3C6D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38117E69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7A07" w:rsidRDefault="00787A07" w14:paraId="4F26FF68" w14:textId="77777777">
      <w:pPr>
        <w:spacing w:after="0" w:line="240" w:lineRule="auto"/>
      </w:pPr>
      <w:r>
        <w:separator/>
      </w:r>
    </w:p>
  </w:endnote>
  <w:endnote w:type="continuationSeparator" w:id="0">
    <w:p w:rsidR="00787A07" w:rsidRDefault="00787A07" w14:paraId="5CF6D964" w14:textId="77777777">
      <w:pPr>
        <w:spacing w:after="0" w:line="240" w:lineRule="auto"/>
      </w:pPr>
      <w:r>
        <w:continuationSeparator/>
      </w:r>
    </w:p>
  </w:endnote>
  <w:endnote w:type="continuationNotice" w:id="1">
    <w:p w:rsidR="00C90130" w:rsidRDefault="00C90130" w14:paraId="1EE51A7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117E69" w:rsidTr="38117E69" w14:paraId="61AED0C6" w14:textId="77777777">
      <w:trPr>
        <w:trHeight w:val="300"/>
      </w:trPr>
      <w:tc>
        <w:tcPr>
          <w:tcW w:w="3120" w:type="dxa"/>
        </w:tcPr>
        <w:p w:rsidR="38117E69" w:rsidP="38117E69" w:rsidRDefault="38117E69" w14:paraId="58E57DAE" w14:textId="65BC34BA">
          <w:pPr>
            <w:pStyle w:val="Header"/>
            <w:ind w:left="-115"/>
          </w:pPr>
        </w:p>
      </w:tc>
      <w:tc>
        <w:tcPr>
          <w:tcW w:w="3120" w:type="dxa"/>
        </w:tcPr>
        <w:p w:rsidR="38117E69" w:rsidP="38117E69" w:rsidRDefault="38117E69" w14:paraId="0CE56162" w14:textId="149D5F84">
          <w:pPr>
            <w:pStyle w:val="Header"/>
            <w:jc w:val="center"/>
          </w:pPr>
        </w:p>
      </w:tc>
      <w:tc>
        <w:tcPr>
          <w:tcW w:w="3120" w:type="dxa"/>
        </w:tcPr>
        <w:p w:rsidR="38117E69" w:rsidP="38117E69" w:rsidRDefault="38117E69" w14:paraId="77D1624B" w14:textId="42B28DD7">
          <w:pPr>
            <w:pStyle w:val="Header"/>
            <w:ind w:right="-115"/>
            <w:jc w:val="right"/>
          </w:pPr>
        </w:p>
      </w:tc>
    </w:tr>
  </w:tbl>
  <w:p w:rsidR="38117E69" w:rsidP="38117E69" w:rsidRDefault="38117E69" w14:paraId="074CA7F1" w14:textId="4DDED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7A07" w:rsidRDefault="00787A07" w14:paraId="2FA4A9E3" w14:textId="77777777">
      <w:pPr>
        <w:spacing w:after="0" w:line="240" w:lineRule="auto"/>
      </w:pPr>
      <w:r>
        <w:separator/>
      </w:r>
    </w:p>
  </w:footnote>
  <w:footnote w:type="continuationSeparator" w:id="0">
    <w:p w:rsidR="00787A07" w:rsidRDefault="00787A07" w14:paraId="7E88AB5E" w14:textId="77777777">
      <w:pPr>
        <w:spacing w:after="0" w:line="240" w:lineRule="auto"/>
      </w:pPr>
      <w:r>
        <w:continuationSeparator/>
      </w:r>
    </w:p>
  </w:footnote>
  <w:footnote w:type="continuationNotice" w:id="1">
    <w:p w:rsidR="00C90130" w:rsidRDefault="00C90130" w14:paraId="419E105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117E69" w:rsidTr="38117E69" w14:paraId="4A695C6B" w14:textId="77777777">
      <w:trPr>
        <w:trHeight w:val="300"/>
      </w:trPr>
      <w:tc>
        <w:tcPr>
          <w:tcW w:w="3120" w:type="dxa"/>
        </w:tcPr>
        <w:p w:rsidR="38117E69" w:rsidP="38117E69" w:rsidRDefault="38117E69" w14:paraId="73E2CCC1" w14:textId="2B3ECC26">
          <w:pPr>
            <w:pStyle w:val="Header"/>
            <w:ind w:left="-115"/>
          </w:pPr>
        </w:p>
      </w:tc>
      <w:tc>
        <w:tcPr>
          <w:tcW w:w="3120" w:type="dxa"/>
        </w:tcPr>
        <w:p w:rsidR="38117E69" w:rsidP="38117E69" w:rsidRDefault="38117E69" w14:paraId="5753FF5B" w14:textId="1BDDDBF9">
          <w:pPr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38117E69">
            <w:rPr>
              <w:rFonts w:ascii="Times New Roman" w:hAnsi="Times New Roman" w:eastAsia="Times New Roman" w:cs="Times New Roman"/>
              <w:sz w:val="24"/>
              <w:szCs w:val="24"/>
            </w:rPr>
            <w:t>MEMORANDUM</w:t>
          </w:r>
        </w:p>
      </w:tc>
      <w:tc>
        <w:tcPr>
          <w:tcW w:w="3120" w:type="dxa"/>
        </w:tcPr>
        <w:p w:rsidR="38117E69" w:rsidP="38117E69" w:rsidRDefault="38117E69" w14:paraId="22502ECE" w14:textId="65E4E225">
          <w:pPr>
            <w:pStyle w:val="Header"/>
            <w:ind w:right="-115"/>
            <w:jc w:val="right"/>
          </w:pPr>
        </w:p>
      </w:tc>
    </w:tr>
  </w:tbl>
  <w:p w:rsidR="38117E69" w:rsidP="38117E69" w:rsidRDefault="38117E69" w14:paraId="483C129F" w14:textId="6D0FE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B7D"/>
    <w:multiLevelType w:val="hybridMultilevel"/>
    <w:tmpl w:val="E95033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9164E0"/>
    <w:multiLevelType w:val="hybridMultilevel"/>
    <w:tmpl w:val="D00AB12A"/>
    <w:lvl w:ilvl="0" w:tplc="249278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E23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808A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4A45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56F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B22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6E47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1A0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7430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76E939"/>
    <w:multiLevelType w:val="hybridMultilevel"/>
    <w:tmpl w:val="DE50321C"/>
    <w:lvl w:ilvl="0" w:tplc="CA442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EC44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822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AA2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24AF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4A0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9E7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CED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BE6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D913DD"/>
    <w:multiLevelType w:val="hybridMultilevel"/>
    <w:tmpl w:val="36CCA2B8"/>
    <w:lvl w:ilvl="0" w:tplc="D4182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8FB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8C3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36B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2C08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6EF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0465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EAAE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0443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1388892">
    <w:abstractNumId w:val="3"/>
  </w:num>
  <w:num w:numId="2" w16cid:durableId="2088064564">
    <w:abstractNumId w:val="2"/>
  </w:num>
  <w:num w:numId="3" w16cid:durableId="766196690">
    <w:abstractNumId w:val="1"/>
  </w:num>
  <w:num w:numId="4" w16cid:durableId="113097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EC335"/>
    <w:rsid w:val="00197D05"/>
    <w:rsid w:val="00262CCA"/>
    <w:rsid w:val="00355E74"/>
    <w:rsid w:val="00412FB1"/>
    <w:rsid w:val="00431F9B"/>
    <w:rsid w:val="005A5710"/>
    <w:rsid w:val="005E2359"/>
    <w:rsid w:val="005E7940"/>
    <w:rsid w:val="00656375"/>
    <w:rsid w:val="00787A07"/>
    <w:rsid w:val="00810FD0"/>
    <w:rsid w:val="0092594E"/>
    <w:rsid w:val="00927F45"/>
    <w:rsid w:val="009D3EAA"/>
    <w:rsid w:val="00A8327F"/>
    <w:rsid w:val="00AD32FB"/>
    <w:rsid w:val="00B02363"/>
    <w:rsid w:val="00C90130"/>
    <w:rsid w:val="00DD7A3E"/>
    <w:rsid w:val="00F034AB"/>
    <w:rsid w:val="032A4396"/>
    <w:rsid w:val="0437550E"/>
    <w:rsid w:val="0456E972"/>
    <w:rsid w:val="07BC7673"/>
    <w:rsid w:val="0831C858"/>
    <w:rsid w:val="08732D71"/>
    <w:rsid w:val="0976FDEA"/>
    <w:rsid w:val="0A021865"/>
    <w:rsid w:val="0AA23B8D"/>
    <w:rsid w:val="0B9DE8C6"/>
    <w:rsid w:val="0EFA9A7F"/>
    <w:rsid w:val="0F75ACB0"/>
    <w:rsid w:val="0FFC95ED"/>
    <w:rsid w:val="11117D11"/>
    <w:rsid w:val="11B2D52B"/>
    <w:rsid w:val="14D8A0BA"/>
    <w:rsid w:val="153EC335"/>
    <w:rsid w:val="15868937"/>
    <w:rsid w:val="162AE55F"/>
    <w:rsid w:val="163EBD28"/>
    <w:rsid w:val="168E2A92"/>
    <w:rsid w:val="1780BE95"/>
    <w:rsid w:val="191961EE"/>
    <w:rsid w:val="1A6F7171"/>
    <w:rsid w:val="1AB85F57"/>
    <w:rsid w:val="1E2A7787"/>
    <w:rsid w:val="1E571062"/>
    <w:rsid w:val="1FC647E8"/>
    <w:rsid w:val="20E64CA1"/>
    <w:rsid w:val="21E1BBBC"/>
    <w:rsid w:val="2211DF2F"/>
    <w:rsid w:val="22362DEF"/>
    <w:rsid w:val="23D7D0FD"/>
    <w:rsid w:val="2539DC33"/>
    <w:rsid w:val="25C0A09E"/>
    <w:rsid w:val="265A9A63"/>
    <w:rsid w:val="2734CC1C"/>
    <w:rsid w:val="29923B25"/>
    <w:rsid w:val="2A8D85FC"/>
    <w:rsid w:val="2B95A490"/>
    <w:rsid w:val="2C07D1C0"/>
    <w:rsid w:val="2D44EE18"/>
    <w:rsid w:val="2DCA1AB6"/>
    <w:rsid w:val="2DEE2A76"/>
    <w:rsid w:val="2E27E365"/>
    <w:rsid w:val="2ED10FC8"/>
    <w:rsid w:val="321DDA75"/>
    <w:rsid w:val="32295457"/>
    <w:rsid w:val="341B3FE5"/>
    <w:rsid w:val="35862E21"/>
    <w:rsid w:val="37DE7A89"/>
    <w:rsid w:val="38117E69"/>
    <w:rsid w:val="384B1EF3"/>
    <w:rsid w:val="38635A11"/>
    <w:rsid w:val="39120933"/>
    <w:rsid w:val="3C58D632"/>
    <w:rsid w:val="3C7D24F2"/>
    <w:rsid w:val="3E4A7E31"/>
    <w:rsid w:val="4143DC88"/>
    <w:rsid w:val="422FE4C6"/>
    <w:rsid w:val="426F23D6"/>
    <w:rsid w:val="4591D3C5"/>
    <w:rsid w:val="465C527D"/>
    <w:rsid w:val="4709E1AE"/>
    <w:rsid w:val="474294F9"/>
    <w:rsid w:val="4744591C"/>
    <w:rsid w:val="49AF9CB7"/>
    <w:rsid w:val="4A418270"/>
    <w:rsid w:val="4A9B253D"/>
    <w:rsid w:val="4AB4A94F"/>
    <w:rsid w:val="4E2C94E8"/>
    <w:rsid w:val="4F08673C"/>
    <w:rsid w:val="4FB1FDFA"/>
    <w:rsid w:val="5157B0BB"/>
    <w:rsid w:val="51E7361E"/>
    <w:rsid w:val="53125CAC"/>
    <w:rsid w:val="5435B622"/>
    <w:rsid w:val="54F04781"/>
    <w:rsid w:val="56E1A405"/>
    <w:rsid w:val="588444B7"/>
    <w:rsid w:val="58C19E1F"/>
    <w:rsid w:val="59EDF013"/>
    <w:rsid w:val="5A78F54B"/>
    <w:rsid w:val="5A98470B"/>
    <w:rsid w:val="5B7EE3EF"/>
    <w:rsid w:val="5FACEE16"/>
    <w:rsid w:val="5FEC8996"/>
    <w:rsid w:val="61479BCD"/>
    <w:rsid w:val="61D6D243"/>
    <w:rsid w:val="61DBF9C2"/>
    <w:rsid w:val="64347F32"/>
    <w:rsid w:val="64BFFAB9"/>
    <w:rsid w:val="64D92316"/>
    <w:rsid w:val="66BD7762"/>
    <w:rsid w:val="66E5B6B3"/>
    <w:rsid w:val="67265784"/>
    <w:rsid w:val="67F79B7B"/>
    <w:rsid w:val="681FDF7B"/>
    <w:rsid w:val="683212E9"/>
    <w:rsid w:val="6832C21A"/>
    <w:rsid w:val="6A290A42"/>
    <w:rsid w:val="6C769EFB"/>
    <w:rsid w:val="6D1E9903"/>
    <w:rsid w:val="6E2FB5EF"/>
    <w:rsid w:val="6E4FB7CC"/>
    <w:rsid w:val="6EA1546D"/>
    <w:rsid w:val="71C3DB75"/>
    <w:rsid w:val="71F846EF"/>
    <w:rsid w:val="74B18A1A"/>
    <w:rsid w:val="776115BB"/>
    <w:rsid w:val="79224D67"/>
    <w:rsid w:val="7D47DF53"/>
    <w:rsid w:val="7E45B697"/>
    <w:rsid w:val="7F31931E"/>
    <w:rsid w:val="7FC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C335"/>
  <w15:chartTrackingRefBased/>
  <w15:docId w15:val="{7C10841B-6ADF-49DC-BDFB-1C138B5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2FB1"/>
    <w:rPr>
      <w:b/>
      <w:bCs/>
    </w:rPr>
  </w:style>
  <w:style w:type="paragraph" w:styleId="Revision">
    <w:name w:val="Revision"/>
    <w:hidden/>
    <w:uiPriority w:val="99"/>
    <w:semiHidden/>
    <w:rsid w:val="00AD3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nytimes.com/2022/01/24/us/politics/supreme-court-affirmative-action-harvard-unc.html" TargetMode="External" Id="R742fe7de7df247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c91ae-03a7-4269-b663-4d75474e534e" xsi:nil="true"/>
    <lcf76f155ced4ddcb4097134ff3c332f xmlns="0bdfc26a-4135-4331-9d75-f8c5f9189df6">
      <Terms xmlns="http://schemas.microsoft.com/office/infopath/2007/PartnerControls"/>
    </lcf76f155ced4ddcb4097134ff3c332f>
    <SharedWithUsers xmlns="f16c91ae-03a7-4269-b663-4d75474e534e">
      <UserInfo>
        <DisplayName>Malgorzata Witalis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FF6C61082840B2FE1637A35453F7" ma:contentTypeVersion="14" ma:contentTypeDescription="Create a new document." ma:contentTypeScope="" ma:versionID="6fddd59746c1096f3789846d81ddaa7c">
  <xsd:schema xmlns:xsd="http://www.w3.org/2001/XMLSchema" xmlns:xs="http://www.w3.org/2001/XMLSchema" xmlns:p="http://schemas.microsoft.com/office/2006/metadata/properties" xmlns:ns2="0bdfc26a-4135-4331-9d75-f8c5f9189df6" xmlns:ns3="f16c91ae-03a7-4269-b663-4d75474e534e" targetNamespace="http://schemas.microsoft.com/office/2006/metadata/properties" ma:root="true" ma:fieldsID="a1fcf4ee4f0e3fb7aff6a0b2b1f881e4" ns2:_="" ns3:_="">
    <xsd:import namespace="0bdfc26a-4135-4331-9d75-f8c5f9189df6"/>
    <xsd:import namespace="f16c91ae-03a7-4269-b663-4d75474e5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c26a-4135-4331-9d75-f8c5f918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c91ae-03a7-4269-b663-4d75474e53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3a1b9d-524d-45e4-b2be-64a3beafcdc2}" ma:internalName="TaxCatchAll" ma:showField="CatchAllData" ma:web="f16c91ae-03a7-4269-b663-4d75474e5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A5F53-BF2A-4EFA-A108-A7DB8E4F0B4F}">
  <ds:schemaRefs>
    <ds:schemaRef ds:uri="http://schemas.microsoft.com/office/2006/metadata/properties"/>
    <ds:schemaRef ds:uri="http://schemas.microsoft.com/office/infopath/2007/PartnerControls"/>
    <ds:schemaRef ds:uri="f16c91ae-03a7-4269-b663-4d75474e534e"/>
    <ds:schemaRef ds:uri="0bdfc26a-4135-4331-9d75-f8c5f9189df6"/>
  </ds:schemaRefs>
</ds:datastoreItem>
</file>

<file path=customXml/itemProps2.xml><?xml version="1.0" encoding="utf-8"?>
<ds:datastoreItem xmlns:ds="http://schemas.openxmlformats.org/officeDocument/2006/customXml" ds:itemID="{5DCCCBC4-FBF3-4F37-AE78-F8EA726DF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49736-1004-4E9A-8835-A321965BB4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Bertilio Correa</dc:creator>
  <cp:keywords/>
  <dc:description/>
  <cp:lastModifiedBy>Bertilio Correa</cp:lastModifiedBy>
  <cp:revision>15</cp:revision>
  <dcterms:created xsi:type="dcterms:W3CDTF">2024-02-19T03:11:00Z</dcterms:created>
  <dcterms:modified xsi:type="dcterms:W3CDTF">2024-03-12T02:12:02Z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0x010100D46AFF6C61082840B2FE1637A35453F7</vt:lpwstr>
  </property>
  <property fmtid="{D5CDD505-2E9C-101B-9397-08002B2CF9AE}" pid="3" name="MediaServiceImageTags">
    <vt:lpwstr/>
  </property>
</Properties>
</file>