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E7" w:rsidRPr="00F52DC9" w:rsidRDefault="009602D5" w:rsidP="00AA09E7">
      <w:pPr>
        <w:pStyle w:val="H1Heading1"/>
        <w:rPr>
          <w:color w:val="365F91" w:themeColor="accent1" w:themeShade="BF"/>
        </w:rPr>
      </w:pPr>
      <w:bookmarkStart w:id="0" w:name="_Toc195328574"/>
      <w:bookmarkStart w:id="1" w:name="_Toc195328806"/>
      <w:bookmarkStart w:id="2" w:name="_Toc195338117"/>
      <w:bookmarkStart w:id="3" w:name="_Toc195342203"/>
      <w:bookmarkStart w:id="4" w:name="_Toc197325905"/>
      <w:bookmarkStart w:id="5" w:name="_Toc200173168"/>
      <w:bookmarkStart w:id="6" w:name="_Toc254948540"/>
      <w:r w:rsidRPr="00F52DC9">
        <w:rPr>
          <w:color w:val="365F91" w:themeColor="accent1" w:themeShade="BF"/>
        </w:rPr>
        <w:t xml:space="preserve">Degree </w:t>
      </w:r>
      <w:r w:rsidR="00CA45F4" w:rsidRPr="00F52DC9">
        <w:rPr>
          <w:color w:val="365F91" w:themeColor="accent1" w:themeShade="BF"/>
        </w:rPr>
        <w:t>Audit in Self Service</w:t>
      </w:r>
      <w:r w:rsidR="00AA09E7" w:rsidRPr="00F52DC9">
        <w:rPr>
          <w:color w:val="365F91" w:themeColor="accent1" w:themeShade="BF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AA09E7" w:rsidRDefault="00AA09E7" w:rsidP="00AA09E7">
      <w:pPr>
        <w:pStyle w:val="LineDivider"/>
      </w:pPr>
      <w:r>
        <w:rPr>
          <w:noProof/>
        </w:rPr>
        <w:drawing>
          <wp:inline distT="0" distB="0" distL="0" distR="0">
            <wp:extent cx="9248775" cy="171450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6D" w:rsidRDefault="00CA45F4" w:rsidP="001D57AF">
      <w:pPr>
        <w:pStyle w:val="H2Heading2"/>
      </w:pPr>
      <w:r>
        <w:t>DARS Self</w:t>
      </w:r>
      <w:r w:rsidR="00BD7B66">
        <w:t xml:space="preserve"> </w:t>
      </w:r>
      <w:r>
        <w:t>Service</w:t>
      </w:r>
      <w:r w:rsidR="00FD299A">
        <w:t xml:space="preserve"> Features</w:t>
      </w:r>
    </w:p>
    <w:p w:rsidR="001D57AF" w:rsidRPr="001D57AF" w:rsidRDefault="001D57AF" w:rsidP="001D57AF"/>
    <w:p w:rsidR="00693B6D" w:rsidRPr="00693B6D" w:rsidRDefault="00CA45F4" w:rsidP="00693B6D">
      <w:r>
        <w:rPr>
          <w:noProof/>
        </w:rPr>
        <w:drawing>
          <wp:inline distT="0" distB="0" distL="0" distR="0">
            <wp:extent cx="5943600" cy="2047659"/>
            <wp:effectExtent l="19050" t="19050" r="19050" b="9741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6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E7" w:rsidRDefault="00FD299A" w:rsidP="009602D5">
      <w:pPr>
        <w:pStyle w:val="H2Heading2"/>
      </w:pPr>
      <w:r>
        <w:t>Features</w:t>
      </w:r>
    </w:p>
    <w:p w:rsidR="009602D5" w:rsidRPr="00BD7B66" w:rsidRDefault="00FD299A" w:rsidP="009602D5">
      <w:pPr>
        <w:pStyle w:val="Body"/>
      </w:pPr>
      <w:r>
        <w:t>Listed below are some of the user friendly features of Self Service</w:t>
      </w:r>
      <w:r w:rsidR="00D83CAC" w:rsidRPr="00BD7B66">
        <w:t>:</w:t>
      </w:r>
    </w:p>
    <w:p w:rsidR="009602D5" w:rsidRPr="00BD7B66" w:rsidRDefault="009602D5" w:rsidP="009602D5">
      <w:pPr>
        <w:pStyle w:val="TableLeading"/>
      </w:pPr>
    </w:p>
    <w:p w:rsidR="009602D5" w:rsidRPr="00F52DC9" w:rsidRDefault="00A030CD" w:rsidP="00CA45F4">
      <w:pPr>
        <w:pStyle w:val="Numbered1"/>
        <w:numPr>
          <w:ilvl w:val="0"/>
          <w:numId w:val="2"/>
        </w:numPr>
        <w:rPr>
          <w:rFonts w:ascii="Arial Black" w:hAnsi="Arial Black"/>
        </w:rPr>
      </w:pPr>
      <w:r w:rsidRPr="00F52DC9">
        <w:rPr>
          <w:rFonts w:ascii="Arial Black" w:hAnsi="Arial Black"/>
        </w:rPr>
        <w:t>The Interactive Audit</w:t>
      </w:r>
    </w:p>
    <w:p w:rsidR="00A030CD" w:rsidRPr="00BD7B66" w:rsidRDefault="00A030CD" w:rsidP="00A030CD">
      <w:pPr>
        <w:pStyle w:val="Numbered1"/>
        <w:numPr>
          <w:ilvl w:val="0"/>
          <w:numId w:val="0"/>
        </w:numPr>
        <w:ind w:left="1080"/>
      </w:pPr>
      <w:r>
        <w:rPr>
          <w:noProof/>
        </w:rPr>
        <w:drawing>
          <wp:inline distT="0" distB="0" distL="0" distR="0">
            <wp:extent cx="5289529" cy="1767840"/>
            <wp:effectExtent l="19050" t="0" r="6371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92" cy="176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EF" w:rsidRDefault="00A030CD" w:rsidP="00A030CD">
      <w:pPr>
        <w:pStyle w:val="Numbered1"/>
        <w:numPr>
          <w:ilvl w:val="1"/>
          <w:numId w:val="2"/>
        </w:numPr>
      </w:pPr>
      <w:r>
        <w:t>Charts and graphs</w:t>
      </w:r>
      <w:r w:rsidR="00DE6886">
        <w:t xml:space="preserve"> – Hover over the hours and GPA charts to view </w:t>
      </w:r>
      <w:r w:rsidR="00866BE0">
        <w:t xml:space="preserve">detailed information.  Click on the </w:t>
      </w:r>
      <w:proofErr w:type="spellStart"/>
      <w:r w:rsidR="00866BE0">
        <w:t>GenEd</w:t>
      </w:r>
      <w:proofErr w:type="spellEnd"/>
      <w:r w:rsidR="00866BE0">
        <w:t xml:space="preserve"> and Major bars to d</w:t>
      </w:r>
      <w:r w:rsidR="00366440">
        <w:t>rill down into the requirements for each of these areas.</w:t>
      </w:r>
    </w:p>
    <w:p w:rsidR="00DE6886" w:rsidRDefault="00A030CD" w:rsidP="00DE6886">
      <w:pPr>
        <w:pStyle w:val="Numbered1"/>
        <w:numPr>
          <w:ilvl w:val="1"/>
          <w:numId w:val="2"/>
        </w:numPr>
      </w:pPr>
      <w:r>
        <w:t>Open all Sections / Close all Sections</w:t>
      </w:r>
      <w:r w:rsidR="00DE6886">
        <w:t xml:space="preserve"> – To view all sections of the audit, select “Open All Sections”</w:t>
      </w:r>
      <w:r w:rsidR="00366440">
        <w:t xml:space="preserve"> (Note: This is the default setting for interactive audits when </w:t>
      </w:r>
      <w:r w:rsidR="0014518B">
        <w:t>first</w:t>
      </w:r>
      <w:r w:rsidR="00366440">
        <w:t xml:space="preserve"> open</w:t>
      </w:r>
      <w:r w:rsidR="0014518B">
        <w:t>ed</w:t>
      </w:r>
      <w:r w:rsidR="00366440">
        <w:t>)</w:t>
      </w:r>
      <w:r w:rsidR="00DE6886">
        <w:t xml:space="preserve">.  </w:t>
      </w:r>
      <w:r w:rsidR="00821F64">
        <w:t>To collapse all sections, select “Close All Sections”.</w:t>
      </w:r>
    </w:p>
    <w:p w:rsidR="00A030CD" w:rsidRDefault="00DE6886" w:rsidP="00A030CD">
      <w:pPr>
        <w:pStyle w:val="Numbered1"/>
        <w:numPr>
          <w:ilvl w:val="1"/>
          <w:numId w:val="2"/>
        </w:numPr>
      </w:pPr>
      <w:r>
        <w:lastRenderedPageBreak/>
        <w:t>Printer Friendly – This will generate a printer friendly version of the audit without charts and graphs.</w:t>
      </w:r>
    </w:p>
    <w:p w:rsidR="00A030CD" w:rsidRDefault="00A030CD" w:rsidP="00A030CD">
      <w:pPr>
        <w:pStyle w:val="Numbered1"/>
        <w:numPr>
          <w:ilvl w:val="1"/>
          <w:numId w:val="2"/>
        </w:numPr>
      </w:pPr>
      <w:r>
        <w:t xml:space="preserve">Legend </w:t>
      </w:r>
      <w:r>
        <w:rPr>
          <w:noProof/>
        </w:rPr>
        <w:drawing>
          <wp:inline distT="0" distB="0" distL="0" distR="0">
            <wp:extent cx="251460" cy="251460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6886">
        <w:t xml:space="preserve">- Hover over the legend icon to view information about the </w:t>
      </w:r>
      <w:r w:rsidR="00717890">
        <w:t xml:space="preserve">symbols </w:t>
      </w:r>
      <w:r w:rsidR="00DE6886">
        <w:t xml:space="preserve">used </w:t>
      </w:r>
      <w:r w:rsidR="00821F64">
        <w:t>on the audit.</w:t>
      </w:r>
    </w:p>
    <w:p w:rsidR="00A030CD" w:rsidRDefault="00A030CD" w:rsidP="00821F64">
      <w:pPr>
        <w:pStyle w:val="Numbered1"/>
        <w:numPr>
          <w:ilvl w:val="1"/>
          <w:numId w:val="2"/>
        </w:numPr>
      </w:pPr>
      <w:r>
        <w:t>Course Descriptions</w:t>
      </w:r>
      <w:r w:rsidR="00821F64">
        <w:t xml:space="preserve"> -</w:t>
      </w:r>
      <w:r w:rsidR="00821F64" w:rsidRPr="00821F64">
        <w:t xml:space="preserve"> To view the course description for a specific course in the audit, click on the course number</w:t>
      </w:r>
      <w:r w:rsidR="0048018F">
        <w:t xml:space="preserve"> link</w:t>
      </w:r>
      <w:r w:rsidR="00821F64" w:rsidRPr="00821F64">
        <w:t>. A new window containing information about the course will open.</w:t>
      </w:r>
    </w:p>
    <w:p w:rsidR="00172719" w:rsidRDefault="00172719" w:rsidP="00821F64">
      <w:pPr>
        <w:pStyle w:val="Numbered1"/>
        <w:numPr>
          <w:ilvl w:val="1"/>
          <w:numId w:val="2"/>
        </w:numPr>
      </w:pPr>
      <w:r>
        <w:t xml:space="preserve">Course History -View </w:t>
      </w:r>
      <w:r w:rsidR="006D6A0E">
        <w:t xml:space="preserve">your </w:t>
      </w:r>
      <w:r>
        <w:t>academic history and registered courses. Filter course information by clicking on the interactive bar graphs or by the drop down menus for term and grade.</w:t>
      </w:r>
    </w:p>
    <w:p w:rsidR="00821F64" w:rsidRDefault="00821F64" w:rsidP="00821F64">
      <w:pPr>
        <w:pStyle w:val="Numbered1"/>
        <w:numPr>
          <w:ilvl w:val="0"/>
          <w:numId w:val="2"/>
        </w:numPr>
      </w:pPr>
      <w:r w:rsidRPr="00F52DC9">
        <w:rPr>
          <w:rFonts w:ascii="Arial Black" w:hAnsi="Arial Black"/>
          <w:b/>
        </w:rPr>
        <w:t>Transfer Evaluation</w:t>
      </w:r>
      <w:r w:rsidR="0014518B" w:rsidRPr="00F52DC9">
        <w:rPr>
          <w:rFonts w:ascii="Arial Black" w:hAnsi="Arial Black"/>
          <w:b/>
        </w:rPr>
        <w:t>s</w:t>
      </w:r>
      <w:r w:rsidR="0014518B">
        <w:t xml:space="preserve"> – View all transfer coursework, AP, and IB credit.</w:t>
      </w:r>
      <w:r w:rsidR="006D6A0E">
        <w:t xml:space="preserve">  If you </w:t>
      </w:r>
      <w:r w:rsidR="009170D4">
        <w:t xml:space="preserve">transferred courses from multiple institutions, </w:t>
      </w:r>
      <w:r w:rsidR="00853EC6">
        <w:t>click</w:t>
      </w:r>
      <w:r w:rsidR="00A02C5E">
        <w:t xml:space="preserve"> the down arrow </w:t>
      </w:r>
      <w:r w:rsidR="00A02C5E">
        <w:rPr>
          <w:noProof/>
        </w:rPr>
        <w:drawing>
          <wp:inline distT="0" distB="0" distL="0" distR="0" wp14:anchorId="22FD75F0" wp14:editId="7AA398A1">
            <wp:extent cx="257175" cy="24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C5E">
        <w:t xml:space="preserve"> next to the institution name to expand/collapse </w:t>
      </w:r>
      <w:r w:rsidR="008D3FB9">
        <w:t>each record</w:t>
      </w:r>
      <w:r w:rsidR="00A02C5E">
        <w:t>.</w:t>
      </w:r>
    </w:p>
    <w:p w:rsidR="00F51D88" w:rsidRDefault="0014518B" w:rsidP="0014518B">
      <w:pPr>
        <w:pStyle w:val="Numbered1"/>
        <w:numPr>
          <w:ilvl w:val="1"/>
          <w:numId w:val="2"/>
        </w:numPr>
      </w:pPr>
      <w:r>
        <w:t>Source ID – A unique identifier for the transfer institution</w:t>
      </w:r>
      <w:r w:rsidR="00CF2893">
        <w:t>.</w:t>
      </w:r>
    </w:p>
    <w:p w:rsidR="0014518B" w:rsidRDefault="0014518B" w:rsidP="0014518B">
      <w:pPr>
        <w:pStyle w:val="Numbered1"/>
        <w:numPr>
          <w:ilvl w:val="1"/>
          <w:numId w:val="2"/>
        </w:numPr>
      </w:pPr>
      <w:r>
        <w:t>Lock</w:t>
      </w:r>
      <w:r w:rsidR="00461B01">
        <w:t>/Certify</w:t>
      </w:r>
      <w:r>
        <w:t xml:space="preserve"> </w:t>
      </w:r>
      <w:r w:rsidR="006A58B0">
        <w:t xml:space="preserve">– </w:t>
      </w:r>
      <w:r w:rsidR="00461B01">
        <w:t>Defines the type of locked status – a soft lock indicates that the evaluation can be updated if the equivalencies are reviewed by faculty</w:t>
      </w:r>
      <w:r w:rsidR="00CF2893">
        <w:t>.</w:t>
      </w:r>
    </w:p>
    <w:p w:rsidR="0014518B" w:rsidRDefault="0014518B" w:rsidP="0014518B">
      <w:pPr>
        <w:pStyle w:val="Numbered1"/>
        <w:numPr>
          <w:ilvl w:val="1"/>
          <w:numId w:val="2"/>
        </w:numPr>
      </w:pPr>
      <w:r>
        <w:t xml:space="preserve">Type – Identifies the course as either a </w:t>
      </w:r>
      <w:r w:rsidR="00A87DAE">
        <w:t xml:space="preserve">transfer course </w:t>
      </w:r>
      <w:r>
        <w:t>or its</w:t>
      </w:r>
      <w:r w:rsidR="00257055">
        <w:t xml:space="preserve"> Temple equivalent</w:t>
      </w:r>
      <w:r w:rsidR="00CF2893">
        <w:t>.</w:t>
      </w:r>
    </w:p>
    <w:p w:rsidR="00CF2893" w:rsidRDefault="00CF2893" w:rsidP="00CF2893">
      <w:pPr>
        <w:pStyle w:val="Numbered1"/>
        <w:numPr>
          <w:ilvl w:val="0"/>
          <w:numId w:val="0"/>
        </w:numPr>
        <w:ind w:left="1800"/>
      </w:pPr>
      <w:r>
        <w:rPr>
          <w:noProof/>
        </w:rPr>
        <w:drawing>
          <wp:inline distT="0" distB="0" distL="0" distR="0" wp14:anchorId="0FE5DA38" wp14:editId="7FF145FF">
            <wp:extent cx="4829175" cy="99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01" w:rsidRPr="00CF2893" w:rsidRDefault="00CF2893" w:rsidP="00CF2893">
      <w:pPr>
        <w:pStyle w:val="Numbered1"/>
        <w:numPr>
          <w:ilvl w:val="1"/>
          <w:numId w:val="2"/>
        </w:numPr>
      </w:pPr>
      <w:r>
        <w:t>Course – The top course in the group is the course from the transferring institution and the bottom course is the Temple equivalent.</w:t>
      </w:r>
    </w:p>
    <w:p w:rsidR="009170D4" w:rsidRDefault="009170D4" w:rsidP="000D634C">
      <w:pPr>
        <w:pStyle w:val="Numbered1"/>
        <w:numPr>
          <w:ilvl w:val="1"/>
          <w:numId w:val="2"/>
        </w:numPr>
      </w:pPr>
      <w:r>
        <w:t>Grade</w:t>
      </w:r>
      <w:r w:rsidR="00853EC6">
        <w:t xml:space="preserve"> – </w:t>
      </w:r>
      <w:r w:rsidR="006A58B0">
        <w:t>Displays</w:t>
      </w:r>
      <w:r w:rsidR="00853EC6">
        <w:t xml:space="preserve"> TR if </w:t>
      </w:r>
      <w:r w:rsidR="006D6A0E">
        <w:t>you</w:t>
      </w:r>
      <w:r w:rsidR="00853EC6">
        <w:t xml:space="preserve"> received transfer credit for the course or NT if </w:t>
      </w:r>
      <w:r w:rsidR="006D6A0E">
        <w:t>you</w:t>
      </w:r>
      <w:r w:rsidR="00644198">
        <w:t xml:space="preserve"> did not receive transfer credit</w:t>
      </w:r>
      <w:r w:rsidR="00644198" w:rsidRPr="00644198">
        <w:t xml:space="preserve"> </w:t>
      </w:r>
      <w:r w:rsidR="00644198">
        <w:t>for the course</w:t>
      </w:r>
      <w:r w:rsidR="00CF2893">
        <w:t>.</w:t>
      </w:r>
    </w:p>
    <w:p w:rsidR="00CF2893" w:rsidRDefault="00CF2893" w:rsidP="000D634C">
      <w:pPr>
        <w:pStyle w:val="Numbered1"/>
        <w:numPr>
          <w:ilvl w:val="1"/>
          <w:numId w:val="2"/>
        </w:numPr>
      </w:pPr>
      <w:r>
        <w:t>Earned Credit – The amount of hours that counts towards academic history.</w:t>
      </w:r>
    </w:p>
    <w:p w:rsidR="00F52DC9" w:rsidRDefault="00F52DC9" w:rsidP="006D6A0E">
      <w:pPr>
        <w:pStyle w:val="Numbered1"/>
        <w:numPr>
          <w:ilvl w:val="0"/>
          <w:numId w:val="2"/>
        </w:numPr>
      </w:pPr>
      <w:r w:rsidRPr="00F52DC9">
        <w:rPr>
          <w:rFonts w:ascii="Arial Black" w:hAnsi="Arial Black"/>
        </w:rPr>
        <w:t>Audit</w:t>
      </w:r>
      <w:r>
        <w:t xml:space="preserve"> – Select Request New or Manage (review list or delete audits).</w:t>
      </w:r>
    </w:p>
    <w:p w:rsidR="00907595" w:rsidRPr="00907595" w:rsidRDefault="00907595" w:rsidP="00907595">
      <w:pPr>
        <w:pStyle w:val="Numbered1"/>
        <w:numPr>
          <w:ilvl w:val="0"/>
          <w:numId w:val="2"/>
        </w:numPr>
      </w:pPr>
      <w:r w:rsidRPr="00907595">
        <w:t>To log out, scroll to the right, click on the cog wheel icon, and select "</w:t>
      </w:r>
      <w:r w:rsidR="00F52DC9">
        <w:t>L</w:t>
      </w:r>
      <w:r w:rsidRPr="00907595">
        <w:t>og out":</w:t>
      </w:r>
    </w:p>
    <w:p w:rsidR="00A557EF" w:rsidRDefault="00907595" w:rsidP="006D6A0E">
      <w:pPr>
        <w:pStyle w:val="Numbered1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>
            <wp:extent cx="1226820" cy="7239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3B6D">
        <w:rPr>
          <w:b/>
        </w:rPr>
        <w:tab/>
      </w:r>
      <w:r w:rsidR="00693B6D">
        <w:rPr>
          <w:b/>
        </w:rPr>
        <w:tab/>
      </w:r>
      <w:bookmarkStart w:id="7" w:name="_GoBack"/>
      <w:bookmarkEnd w:id="7"/>
    </w:p>
    <w:sectPr w:rsidR="00A557EF" w:rsidSect="001D57AF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32D9"/>
    <w:multiLevelType w:val="hybridMultilevel"/>
    <w:tmpl w:val="7F708C48"/>
    <w:lvl w:ilvl="0" w:tplc="21E0D526">
      <w:start w:val="1"/>
      <w:numFmt w:val="decimal"/>
      <w:pStyle w:val="Numbered1"/>
      <w:lvlText w:val="%1."/>
      <w:lvlJc w:val="left"/>
      <w:pPr>
        <w:tabs>
          <w:tab w:val="num" w:pos="1440"/>
        </w:tabs>
        <w:ind w:left="1440" w:hanging="360"/>
      </w:pPr>
      <w:rPr>
        <w:color w:val="02385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E7223"/>
    <w:multiLevelType w:val="hybridMultilevel"/>
    <w:tmpl w:val="F8CAE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E61C5"/>
    <w:multiLevelType w:val="hybridMultilevel"/>
    <w:tmpl w:val="F7BC9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081964"/>
    <w:multiLevelType w:val="hybridMultilevel"/>
    <w:tmpl w:val="8F426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09E7"/>
    <w:rsid w:val="000D634C"/>
    <w:rsid w:val="0013104F"/>
    <w:rsid w:val="0014518B"/>
    <w:rsid w:val="00155C54"/>
    <w:rsid w:val="00172719"/>
    <w:rsid w:val="001D57AF"/>
    <w:rsid w:val="001D61A2"/>
    <w:rsid w:val="001F53F5"/>
    <w:rsid w:val="00227089"/>
    <w:rsid w:val="00257055"/>
    <w:rsid w:val="002608E8"/>
    <w:rsid w:val="00294C69"/>
    <w:rsid w:val="002B54E2"/>
    <w:rsid w:val="002B7936"/>
    <w:rsid w:val="002D377F"/>
    <w:rsid w:val="002E1DD5"/>
    <w:rsid w:val="00366440"/>
    <w:rsid w:val="00393BAF"/>
    <w:rsid w:val="003D54DE"/>
    <w:rsid w:val="00461B01"/>
    <w:rsid w:val="0048018F"/>
    <w:rsid w:val="00493E9A"/>
    <w:rsid w:val="004B524F"/>
    <w:rsid w:val="004C1D09"/>
    <w:rsid w:val="00525AC6"/>
    <w:rsid w:val="00531499"/>
    <w:rsid w:val="005536B8"/>
    <w:rsid w:val="005D13B6"/>
    <w:rsid w:val="00622264"/>
    <w:rsid w:val="00644198"/>
    <w:rsid w:val="00693B6D"/>
    <w:rsid w:val="006A58B0"/>
    <w:rsid w:val="006D6A0E"/>
    <w:rsid w:val="00702205"/>
    <w:rsid w:val="007076CE"/>
    <w:rsid w:val="0071196C"/>
    <w:rsid w:val="00717890"/>
    <w:rsid w:val="00791CDB"/>
    <w:rsid w:val="00821F64"/>
    <w:rsid w:val="0082285C"/>
    <w:rsid w:val="00853EC6"/>
    <w:rsid w:val="00866BE0"/>
    <w:rsid w:val="008D07F1"/>
    <w:rsid w:val="008D3FB9"/>
    <w:rsid w:val="00907595"/>
    <w:rsid w:val="009170D4"/>
    <w:rsid w:val="00917702"/>
    <w:rsid w:val="009602D5"/>
    <w:rsid w:val="00A02C5E"/>
    <w:rsid w:val="00A030CD"/>
    <w:rsid w:val="00A1171F"/>
    <w:rsid w:val="00A134A5"/>
    <w:rsid w:val="00A557EF"/>
    <w:rsid w:val="00A87DAE"/>
    <w:rsid w:val="00AA09E7"/>
    <w:rsid w:val="00B95D65"/>
    <w:rsid w:val="00BC5324"/>
    <w:rsid w:val="00BD3B19"/>
    <w:rsid w:val="00BD7B66"/>
    <w:rsid w:val="00C5496A"/>
    <w:rsid w:val="00CA45F4"/>
    <w:rsid w:val="00CA779C"/>
    <w:rsid w:val="00CB6477"/>
    <w:rsid w:val="00CD0A3F"/>
    <w:rsid w:val="00CF2893"/>
    <w:rsid w:val="00D07391"/>
    <w:rsid w:val="00D510D6"/>
    <w:rsid w:val="00D83CAC"/>
    <w:rsid w:val="00DE6886"/>
    <w:rsid w:val="00E21E25"/>
    <w:rsid w:val="00F51D88"/>
    <w:rsid w:val="00F52DC9"/>
    <w:rsid w:val="00F561DE"/>
    <w:rsid w:val="00F62805"/>
    <w:rsid w:val="00FD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23AA3-9E0F-4325-950E-94977FF4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E7"/>
    <w:rPr>
      <w:rFonts w:ascii="Tahoma" w:hAnsi="Tahoma" w:cs="Tahoma"/>
      <w:sz w:val="16"/>
      <w:szCs w:val="16"/>
    </w:rPr>
  </w:style>
  <w:style w:type="paragraph" w:customStyle="1" w:styleId="LineDivider">
    <w:name w:val="LineDivider"/>
    <w:basedOn w:val="Normal"/>
    <w:next w:val="Normal"/>
    <w:rsid w:val="00AA09E7"/>
    <w:pPr>
      <w:widowControl w:val="0"/>
      <w:overflowPunct w:val="0"/>
      <w:autoSpaceDE w:val="0"/>
      <w:autoSpaceDN w:val="0"/>
      <w:adjustRightInd w:val="0"/>
      <w:spacing w:after="0" w:line="260" w:lineRule="atLeast"/>
    </w:pPr>
    <w:rPr>
      <w:rFonts w:ascii="Tahoma" w:hAnsi="Tahoma" w:cs="Tahoma"/>
      <w:color w:val="000000"/>
      <w:sz w:val="24"/>
      <w:szCs w:val="24"/>
    </w:rPr>
  </w:style>
  <w:style w:type="paragraph" w:customStyle="1" w:styleId="H1Heading1">
    <w:name w:val="H1_Heading1"/>
    <w:basedOn w:val="Normal"/>
    <w:next w:val="LineDivider"/>
    <w:rsid w:val="00AA09E7"/>
    <w:pPr>
      <w:keepNext/>
      <w:widowControl w:val="0"/>
      <w:overflowPunct w:val="0"/>
      <w:autoSpaceDE w:val="0"/>
      <w:autoSpaceDN w:val="0"/>
      <w:adjustRightInd w:val="0"/>
      <w:spacing w:before="600" w:after="0" w:line="380" w:lineRule="atLeast"/>
    </w:pPr>
    <w:rPr>
      <w:rFonts w:ascii="Arial Black" w:hAnsi="Arial Black" w:cs="Tahoma"/>
      <w:color w:val="02385A"/>
      <w:sz w:val="36"/>
    </w:rPr>
  </w:style>
  <w:style w:type="paragraph" w:customStyle="1" w:styleId="H2Heading2">
    <w:name w:val="H2_Heading2"/>
    <w:basedOn w:val="H1Heading1"/>
    <w:next w:val="Normal"/>
    <w:rsid w:val="00AA09E7"/>
    <w:pPr>
      <w:tabs>
        <w:tab w:val="left" w:pos="720"/>
      </w:tabs>
      <w:spacing w:before="400" w:line="340" w:lineRule="atLeast"/>
    </w:pPr>
    <w:rPr>
      <w:sz w:val="28"/>
    </w:rPr>
  </w:style>
  <w:style w:type="paragraph" w:customStyle="1" w:styleId="TableLeading">
    <w:name w:val="Table Leading"/>
    <w:basedOn w:val="Normal"/>
    <w:next w:val="Normal"/>
    <w:rsid w:val="009602D5"/>
    <w:pPr>
      <w:spacing w:after="0" w:line="60" w:lineRule="exact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basedOn w:val="DefaultParagraphFont"/>
    <w:link w:val="Body"/>
    <w:locked/>
    <w:rsid w:val="009602D5"/>
    <w:rPr>
      <w:rFonts w:ascii="Tahoma" w:hAnsi="Tahoma" w:cs="Tahoma"/>
      <w:color w:val="000000"/>
    </w:rPr>
  </w:style>
  <w:style w:type="paragraph" w:customStyle="1" w:styleId="Body">
    <w:name w:val="Body"/>
    <w:link w:val="BodyChar"/>
    <w:rsid w:val="009602D5"/>
    <w:pPr>
      <w:widowControl w:val="0"/>
      <w:overflowPunct w:val="0"/>
      <w:autoSpaceDE w:val="0"/>
      <w:autoSpaceDN w:val="0"/>
      <w:adjustRightInd w:val="0"/>
      <w:spacing w:before="260" w:after="0" w:line="260" w:lineRule="atLeast"/>
      <w:ind w:left="360"/>
    </w:pPr>
    <w:rPr>
      <w:rFonts w:ascii="Tahoma" w:hAnsi="Tahoma" w:cs="Tahoma"/>
      <w:color w:val="000000"/>
    </w:rPr>
  </w:style>
  <w:style w:type="paragraph" w:customStyle="1" w:styleId="Numbered1">
    <w:name w:val="Numbered(1)"/>
    <w:basedOn w:val="Body"/>
    <w:rsid w:val="009602D5"/>
    <w:pPr>
      <w:numPr>
        <w:numId w:val="1"/>
      </w:numPr>
      <w:tabs>
        <w:tab w:val="clear" w:pos="1440"/>
        <w:tab w:val="num" w:pos="360"/>
        <w:tab w:val="left" w:pos="720"/>
      </w:tabs>
      <w:ind w:left="360" w:firstLine="0"/>
    </w:pPr>
  </w:style>
  <w:style w:type="paragraph" w:styleId="ListParagraph">
    <w:name w:val="List Paragraph"/>
    <w:basedOn w:val="Normal"/>
    <w:uiPriority w:val="34"/>
    <w:qFormat/>
    <w:rsid w:val="00CB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Bennett-Kenney</dc:creator>
  <cp:lastModifiedBy>Elizabeth J Young</cp:lastModifiedBy>
  <cp:revision>3</cp:revision>
  <dcterms:created xsi:type="dcterms:W3CDTF">2014-08-26T15:16:00Z</dcterms:created>
  <dcterms:modified xsi:type="dcterms:W3CDTF">2014-08-26T15:17:00Z</dcterms:modified>
</cp:coreProperties>
</file>